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96" w:rsidRDefault="003B7ABF" w:rsidP="003B7ABF">
      <w:pPr>
        <w:pStyle w:val="Title"/>
        <w:rPr>
          <w:b/>
          <w:sz w:val="52"/>
        </w:rPr>
      </w:pPr>
      <w:r w:rsidRPr="003B7ABF">
        <w:rPr>
          <w:b/>
          <w:sz w:val="48"/>
          <w:szCs w:val="52"/>
        </w:rPr>
        <w:t>AN OVERVIEW</w:t>
      </w:r>
      <w:r w:rsidRPr="003B7ABF">
        <w:rPr>
          <w:b/>
          <w:sz w:val="52"/>
        </w:rPr>
        <w:t xml:space="preserve"> OF CANADA’S TAX BRACKETS:</w:t>
      </w:r>
    </w:p>
    <w:p w:rsidR="003B7ABF" w:rsidRDefault="003B7ABF" w:rsidP="003B7ABF">
      <w:pPr>
        <w:rPr>
          <w:i/>
        </w:rPr>
      </w:pPr>
    </w:p>
    <w:p w:rsidR="003B7ABF" w:rsidRDefault="003B7ABF" w:rsidP="003B7ABF">
      <w:bookmarkStart w:id="0" w:name="_GoBack"/>
      <w:bookmarkEnd w:id="0"/>
      <w:r>
        <w:rPr>
          <w:i/>
        </w:rPr>
        <w:t xml:space="preserve">Source:  </w:t>
      </w:r>
      <w:hyperlink r:id="rId5" w:anchor=":~:text=In%20tax%2Dyear%202020*%2C%20Canada's%20Income%20Tax%20Brackets%20are%3A&amp;text=20.5%25%20on%20the%20next%20%2448%2C534,%2497%2C069%20up%20to%20%24150%2C473)%2C%20plus" w:history="1">
        <w:r w:rsidRPr="003B7ABF">
          <w:rPr>
            <w:rStyle w:val="Hyperlink"/>
            <w:sz w:val="20"/>
          </w:rPr>
          <w:t>https://turbotax.intuit.ca/tips/an-overview-of-federal-tax-rates-286#:~:text=In%20tax%2Dyear%202020*%2C%20Canada's%20Income%20Tax%20Brackets%20are%3A&amp;text=20.5%25%20on%20the%20next%20%2448%2C534,%2497%2C069%20up%20to%20%24150%2C473)%2C%20plus</w:t>
        </w:r>
      </w:hyperlink>
    </w:p>
    <w:p w:rsidR="003B7ABF" w:rsidRPr="003B7ABF" w:rsidRDefault="003B7ABF" w:rsidP="003B7ABF">
      <w:pPr>
        <w:shd w:val="clear" w:color="auto" w:fill="FFFFFF"/>
        <w:spacing w:before="100" w:beforeAutospacing="1" w:after="100" w:afterAutospacing="1" w:line="240" w:lineRule="auto"/>
        <w:outlineLvl w:val="1"/>
        <w:rPr>
          <w:rFonts w:ascii="Helvetica" w:eastAsia="Times New Roman" w:hAnsi="Helvetica" w:cs="Helvetica"/>
          <w:color w:val="404040"/>
          <w:sz w:val="32"/>
          <w:szCs w:val="36"/>
        </w:rPr>
      </w:pPr>
      <w:r w:rsidRPr="003B7ABF">
        <w:rPr>
          <w:rFonts w:ascii="Helvetica" w:eastAsia="Times New Roman" w:hAnsi="Helvetica" w:cs="Helvetica"/>
          <w:b/>
          <w:bCs/>
          <w:color w:val="404040"/>
          <w:sz w:val="32"/>
          <w:szCs w:val="36"/>
        </w:rPr>
        <w:t>Overview</w:t>
      </w:r>
    </w:p>
    <w:p w:rsidR="003B7ABF" w:rsidRPr="003B7ABF" w:rsidRDefault="003B7ABF" w:rsidP="003B7ABF">
      <w:pPr>
        <w:numPr>
          <w:ilvl w:val="0"/>
          <w:numId w:val="1"/>
        </w:numPr>
        <w:shd w:val="clear" w:color="auto" w:fill="FFFFFF"/>
        <w:spacing w:line="240" w:lineRule="auto"/>
        <w:rPr>
          <w:rFonts w:ascii="Helvetica" w:eastAsia="Times New Roman" w:hAnsi="Helvetica" w:cs="Helvetica"/>
          <w:color w:val="404040"/>
          <w:sz w:val="24"/>
          <w:szCs w:val="24"/>
        </w:rPr>
      </w:pPr>
      <w:r w:rsidRPr="003B7ABF">
        <w:rPr>
          <w:rFonts w:ascii="Helvetica" w:eastAsia="Times New Roman" w:hAnsi="Helvetica" w:cs="Helvetica"/>
          <w:color w:val="404040"/>
          <w:sz w:val="24"/>
          <w:szCs w:val="24"/>
        </w:rPr>
        <w:t>Canadian income tax rates vary according to the amount of income you earn, and you pay different rates on different portions of your income.</w:t>
      </w:r>
    </w:p>
    <w:p w:rsidR="003B7ABF" w:rsidRPr="003B7ABF" w:rsidRDefault="003B7ABF" w:rsidP="003B7ABF">
      <w:pPr>
        <w:numPr>
          <w:ilvl w:val="0"/>
          <w:numId w:val="1"/>
        </w:numPr>
        <w:shd w:val="clear" w:color="auto" w:fill="FFFFFF"/>
        <w:spacing w:before="100" w:beforeAutospacing="1" w:after="100" w:afterAutospacing="1" w:line="360" w:lineRule="auto"/>
        <w:rPr>
          <w:rFonts w:ascii="Helvetica" w:eastAsia="Times New Roman" w:hAnsi="Helvetica" w:cs="Helvetica"/>
          <w:color w:val="404040"/>
          <w:sz w:val="24"/>
          <w:szCs w:val="24"/>
        </w:rPr>
      </w:pPr>
      <w:r w:rsidRPr="003B7ABF">
        <w:rPr>
          <w:rFonts w:ascii="Helvetica" w:eastAsia="Times New Roman" w:hAnsi="Helvetica" w:cs="Helvetica"/>
          <w:color w:val="404040"/>
          <w:sz w:val="24"/>
          <w:szCs w:val="24"/>
        </w:rPr>
        <w:t>Canada’s tax brackets reflect a</w:t>
      </w:r>
      <w:r w:rsidRPr="003B7ABF">
        <w:rPr>
          <w:rFonts w:ascii="Helvetica" w:eastAsia="Times New Roman" w:hAnsi="Helvetica" w:cs="Helvetica"/>
          <w:b/>
          <w:bCs/>
          <w:color w:val="404040"/>
          <w:sz w:val="24"/>
          <w:szCs w:val="24"/>
        </w:rPr>
        <w:t> marginal tax rate system.</w:t>
      </w:r>
    </w:p>
    <w:p w:rsidR="003B7ABF" w:rsidRPr="003B7ABF" w:rsidRDefault="003B7ABF" w:rsidP="003B7ABF">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B7ABF">
        <w:rPr>
          <w:rFonts w:ascii="Helvetica" w:eastAsia="Times New Roman" w:hAnsi="Helvetica" w:cs="Helvetica"/>
          <w:color w:val="404040"/>
          <w:sz w:val="24"/>
          <w:szCs w:val="24"/>
        </w:rPr>
        <w:t>The Canadian tax system is a progressive (or graduated) system which means</w:t>
      </w:r>
      <w:r w:rsidRPr="003B7ABF">
        <w:rPr>
          <w:rFonts w:ascii="Helvetica" w:eastAsia="Times New Roman" w:hAnsi="Helvetica" w:cs="Helvetica"/>
          <w:b/>
          <w:bCs/>
          <w:color w:val="404040"/>
          <w:sz w:val="24"/>
          <w:szCs w:val="24"/>
        </w:rPr>
        <w:t> low-income earners are taxed at a lower percentage than high-income earners; the more money you make, the more taxes you pay.</w:t>
      </w:r>
    </w:p>
    <w:p w:rsidR="003B7ABF" w:rsidRPr="003B7ABF" w:rsidRDefault="003B7ABF" w:rsidP="003B7ABF">
      <w:pPr>
        <w:shd w:val="clear" w:color="auto" w:fill="FFFFFF"/>
        <w:spacing w:before="100" w:beforeAutospacing="1" w:after="100" w:afterAutospacing="1" w:line="240" w:lineRule="auto"/>
        <w:outlineLvl w:val="2"/>
        <w:rPr>
          <w:rFonts w:ascii="Helvetica" w:eastAsia="Times New Roman" w:hAnsi="Helvetica" w:cs="Helvetica"/>
          <w:color w:val="404040"/>
          <w:sz w:val="27"/>
          <w:szCs w:val="27"/>
        </w:rPr>
      </w:pPr>
      <w:r w:rsidRPr="003B7ABF">
        <w:rPr>
          <w:rFonts w:ascii="Helvetica" w:eastAsia="Times New Roman" w:hAnsi="Helvetica" w:cs="Helvetica"/>
          <w:color w:val="404040"/>
          <w:sz w:val="27"/>
          <w:szCs w:val="27"/>
        </w:rPr>
        <w:t>In tax-year 2020*, Canada’s Income Tax Brackets are:</w:t>
      </w:r>
    </w:p>
    <w:p w:rsidR="003B7ABF" w:rsidRPr="003B7ABF" w:rsidRDefault="003B7ABF" w:rsidP="003B7ABF">
      <w:pPr>
        <w:numPr>
          <w:ilvl w:val="0"/>
          <w:numId w:val="2"/>
        </w:num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B7ABF">
        <w:rPr>
          <w:rFonts w:ascii="Helvetica" w:eastAsia="Times New Roman" w:hAnsi="Helvetica" w:cs="Helvetica"/>
          <w:b/>
          <w:bCs/>
          <w:color w:val="404040"/>
          <w:sz w:val="24"/>
          <w:szCs w:val="24"/>
        </w:rPr>
        <w:t>15%</w:t>
      </w:r>
      <w:r w:rsidRPr="003B7ABF">
        <w:rPr>
          <w:rFonts w:ascii="Helvetica" w:eastAsia="Times New Roman" w:hAnsi="Helvetica" w:cs="Helvetica"/>
          <w:color w:val="404040"/>
          <w:sz w:val="24"/>
          <w:szCs w:val="24"/>
        </w:rPr>
        <w:t> on the first </w:t>
      </w:r>
      <w:r w:rsidRPr="003B7ABF">
        <w:rPr>
          <w:rFonts w:ascii="Helvetica" w:eastAsia="Times New Roman" w:hAnsi="Helvetica" w:cs="Helvetica"/>
          <w:b/>
          <w:bCs/>
          <w:color w:val="404040"/>
          <w:sz w:val="24"/>
          <w:szCs w:val="24"/>
        </w:rPr>
        <w:t>$48,535</w:t>
      </w:r>
      <w:r w:rsidRPr="003B7ABF">
        <w:rPr>
          <w:rFonts w:ascii="Helvetica" w:eastAsia="Times New Roman" w:hAnsi="Helvetica" w:cs="Helvetica"/>
          <w:color w:val="404040"/>
          <w:sz w:val="24"/>
          <w:szCs w:val="24"/>
        </w:rPr>
        <w:t> of </w:t>
      </w:r>
      <w:r w:rsidRPr="003B7ABF">
        <w:rPr>
          <w:rFonts w:ascii="Helvetica" w:eastAsia="Times New Roman" w:hAnsi="Helvetica" w:cs="Helvetica"/>
          <w:b/>
          <w:bCs/>
          <w:color w:val="404040"/>
          <w:sz w:val="24"/>
          <w:szCs w:val="24"/>
        </w:rPr>
        <w:t>taxable income</w:t>
      </w:r>
      <w:r w:rsidRPr="003B7ABF">
        <w:rPr>
          <w:rFonts w:ascii="Helvetica" w:eastAsia="Times New Roman" w:hAnsi="Helvetica" w:cs="Helvetica"/>
          <w:color w:val="404040"/>
          <w:sz w:val="24"/>
          <w:szCs w:val="24"/>
        </w:rPr>
        <w:t>,</w:t>
      </w:r>
      <w:r w:rsidRPr="003B7ABF">
        <w:rPr>
          <w:rFonts w:ascii="Helvetica" w:eastAsia="Times New Roman" w:hAnsi="Helvetica" w:cs="Helvetica"/>
          <w:b/>
          <w:bCs/>
          <w:color w:val="404040"/>
          <w:sz w:val="24"/>
          <w:szCs w:val="24"/>
        </w:rPr>
        <w:t> plus</w:t>
      </w:r>
    </w:p>
    <w:p w:rsidR="003B7ABF" w:rsidRPr="003B7ABF" w:rsidRDefault="003B7ABF" w:rsidP="003B7ABF">
      <w:pPr>
        <w:numPr>
          <w:ilvl w:val="0"/>
          <w:numId w:val="2"/>
        </w:num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B7ABF">
        <w:rPr>
          <w:rFonts w:ascii="Helvetica" w:eastAsia="Times New Roman" w:hAnsi="Helvetica" w:cs="Helvetica"/>
          <w:b/>
          <w:bCs/>
          <w:color w:val="404040"/>
          <w:sz w:val="24"/>
          <w:szCs w:val="24"/>
        </w:rPr>
        <w:t>20.5%</w:t>
      </w:r>
      <w:r w:rsidRPr="003B7ABF">
        <w:rPr>
          <w:rFonts w:ascii="Helvetica" w:eastAsia="Times New Roman" w:hAnsi="Helvetica" w:cs="Helvetica"/>
          <w:color w:val="404040"/>
          <w:sz w:val="24"/>
          <w:szCs w:val="24"/>
        </w:rPr>
        <w:t> on the next </w:t>
      </w:r>
      <w:r w:rsidRPr="003B7ABF">
        <w:rPr>
          <w:rFonts w:ascii="Helvetica" w:eastAsia="Times New Roman" w:hAnsi="Helvetica" w:cs="Helvetica"/>
          <w:b/>
          <w:bCs/>
          <w:color w:val="404040"/>
          <w:sz w:val="24"/>
          <w:szCs w:val="24"/>
        </w:rPr>
        <w:t>$48,534</w:t>
      </w:r>
      <w:r w:rsidRPr="003B7ABF">
        <w:rPr>
          <w:rFonts w:ascii="Helvetica" w:eastAsia="Times New Roman" w:hAnsi="Helvetica" w:cs="Helvetica"/>
          <w:color w:val="404040"/>
          <w:sz w:val="24"/>
          <w:szCs w:val="24"/>
        </w:rPr>
        <w:t> of </w:t>
      </w:r>
      <w:r w:rsidRPr="003B7ABF">
        <w:rPr>
          <w:rFonts w:ascii="Helvetica" w:eastAsia="Times New Roman" w:hAnsi="Helvetica" w:cs="Helvetica"/>
          <w:b/>
          <w:bCs/>
          <w:color w:val="404040"/>
          <w:sz w:val="24"/>
          <w:szCs w:val="24"/>
        </w:rPr>
        <w:t>taxable income</w:t>
      </w:r>
      <w:r w:rsidRPr="003B7ABF">
        <w:rPr>
          <w:rFonts w:ascii="Helvetica" w:eastAsia="Times New Roman" w:hAnsi="Helvetica" w:cs="Helvetica"/>
          <w:color w:val="404040"/>
          <w:sz w:val="24"/>
          <w:szCs w:val="24"/>
        </w:rPr>
        <w:t> (on the portion of taxable income over $48,535 up to $97,069),</w:t>
      </w:r>
      <w:r w:rsidRPr="003B7ABF">
        <w:rPr>
          <w:rFonts w:ascii="Helvetica" w:eastAsia="Times New Roman" w:hAnsi="Helvetica" w:cs="Helvetica"/>
          <w:b/>
          <w:bCs/>
          <w:color w:val="404040"/>
          <w:sz w:val="24"/>
          <w:szCs w:val="24"/>
        </w:rPr>
        <w:t> plus</w:t>
      </w:r>
    </w:p>
    <w:p w:rsidR="003B7ABF" w:rsidRPr="003B7ABF" w:rsidRDefault="003B7ABF" w:rsidP="003B7ABF">
      <w:pPr>
        <w:numPr>
          <w:ilvl w:val="0"/>
          <w:numId w:val="2"/>
        </w:num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B7ABF">
        <w:rPr>
          <w:rFonts w:ascii="Helvetica" w:eastAsia="Times New Roman" w:hAnsi="Helvetica" w:cs="Helvetica"/>
          <w:b/>
          <w:bCs/>
          <w:color w:val="404040"/>
          <w:sz w:val="24"/>
          <w:szCs w:val="24"/>
        </w:rPr>
        <w:t>26%</w:t>
      </w:r>
      <w:r w:rsidRPr="003B7ABF">
        <w:rPr>
          <w:rFonts w:ascii="Helvetica" w:eastAsia="Times New Roman" w:hAnsi="Helvetica" w:cs="Helvetica"/>
          <w:color w:val="404040"/>
          <w:sz w:val="24"/>
          <w:szCs w:val="24"/>
        </w:rPr>
        <w:t> on the next</w:t>
      </w:r>
      <w:r w:rsidRPr="003B7ABF">
        <w:rPr>
          <w:rFonts w:ascii="Helvetica" w:eastAsia="Times New Roman" w:hAnsi="Helvetica" w:cs="Helvetica"/>
          <w:b/>
          <w:bCs/>
          <w:color w:val="404040"/>
          <w:sz w:val="24"/>
          <w:szCs w:val="24"/>
        </w:rPr>
        <w:t> $53,404</w:t>
      </w:r>
      <w:r w:rsidRPr="003B7ABF">
        <w:rPr>
          <w:rFonts w:ascii="Helvetica" w:eastAsia="Times New Roman" w:hAnsi="Helvetica" w:cs="Helvetica"/>
          <w:color w:val="404040"/>
          <w:sz w:val="24"/>
          <w:szCs w:val="24"/>
        </w:rPr>
        <w:t> of </w:t>
      </w:r>
      <w:r w:rsidRPr="003B7ABF">
        <w:rPr>
          <w:rFonts w:ascii="Helvetica" w:eastAsia="Times New Roman" w:hAnsi="Helvetica" w:cs="Helvetica"/>
          <w:b/>
          <w:bCs/>
          <w:color w:val="404040"/>
          <w:sz w:val="24"/>
          <w:szCs w:val="24"/>
        </w:rPr>
        <w:t>taxable income</w:t>
      </w:r>
      <w:r w:rsidRPr="003B7ABF">
        <w:rPr>
          <w:rFonts w:ascii="Helvetica" w:eastAsia="Times New Roman" w:hAnsi="Helvetica" w:cs="Helvetica"/>
          <w:color w:val="404040"/>
          <w:sz w:val="24"/>
          <w:szCs w:val="24"/>
        </w:rPr>
        <w:t> (on the portion of taxable income over $97,069 up to $150,473),</w:t>
      </w:r>
      <w:r w:rsidRPr="003B7ABF">
        <w:rPr>
          <w:rFonts w:ascii="Helvetica" w:eastAsia="Times New Roman" w:hAnsi="Helvetica" w:cs="Helvetica"/>
          <w:b/>
          <w:bCs/>
          <w:color w:val="404040"/>
          <w:sz w:val="24"/>
          <w:szCs w:val="24"/>
        </w:rPr>
        <w:t> plus</w:t>
      </w:r>
    </w:p>
    <w:p w:rsidR="003B7ABF" w:rsidRPr="003B7ABF" w:rsidRDefault="003B7ABF" w:rsidP="003B7ABF">
      <w:pPr>
        <w:numPr>
          <w:ilvl w:val="0"/>
          <w:numId w:val="2"/>
        </w:num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B7ABF">
        <w:rPr>
          <w:rFonts w:ascii="Helvetica" w:eastAsia="Times New Roman" w:hAnsi="Helvetica" w:cs="Helvetica"/>
          <w:b/>
          <w:bCs/>
          <w:color w:val="404040"/>
          <w:sz w:val="24"/>
          <w:szCs w:val="24"/>
        </w:rPr>
        <w:t>29%</w:t>
      </w:r>
      <w:r w:rsidRPr="003B7ABF">
        <w:rPr>
          <w:rFonts w:ascii="Helvetica" w:eastAsia="Times New Roman" w:hAnsi="Helvetica" w:cs="Helvetica"/>
          <w:color w:val="404040"/>
          <w:sz w:val="24"/>
          <w:szCs w:val="24"/>
        </w:rPr>
        <w:t> on the next </w:t>
      </w:r>
      <w:r w:rsidRPr="003B7ABF">
        <w:rPr>
          <w:rFonts w:ascii="Helvetica" w:eastAsia="Times New Roman" w:hAnsi="Helvetica" w:cs="Helvetica"/>
          <w:b/>
          <w:bCs/>
          <w:color w:val="404040"/>
          <w:sz w:val="24"/>
          <w:szCs w:val="24"/>
        </w:rPr>
        <w:t>$63,895</w:t>
      </w:r>
      <w:r w:rsidRPr="003B7ABF">
        <w:rPr>
          <w:rFonts w:ascii="Helvetica" w:eastAsia="Times New Roman" w:hAnsi="Helvetica" w:cs="Helvetica"/>
          <w:color w:val="404040"/>
          <w:sz w:val="24"/>
          <w:szCs w:val="24"/>
        </w:rPr>
        <w:t> of </w:t>
      </w:r>
      <w:r w:rsidRPr="003B7ABF">
        <w:rPr>
          <w:rFonts w:ascii="Helvetica" w:eastAsia="Times New Roman" w:hAnsi="Helvetica" w:cs="Helvetica"/>
          <w:b/>
          <w:bCs/>
          <w:color w:val="404040"/>
          <w:sz w:val="24"/>
          <w:szCs w:val="24"/>
        </w:rPr>
        <w:t>taxable income</w:t>
      </w:r>
      <w:r w:rsidRPr="003B7ABF">
        <w:rPr>
          <w:rFonts w:ascii="Helvetica" w:eastAsia="Times New Roman" w:hAnsi="Helvetica" w:cs="Helvetica"/>
          <w:color w:val="404040"/>
          <w:sz w:val="24"/>
          <w:szCs w:val="24"/>
        </w:rPr>
        <w:t> (on the portion of taxable income over $150,473 up to $214,368)</w:t>
      </w:r>
      <w:r w:rsidRPr="003B7ABF">
        <w:rPr>
          <w:rFonts w:ascii="Helvetica" w:eastAsia="Times New Roman" w:hAnsi="Helvetica" w:cs="Helvetica"/>
          <w:b/>
          <w:bCs/>
          <w:color w:val="404040"/>
          <w:sz w:val="24"/>
          <w:szCs w:val="24"/>
        </w:rPr>
        <w:t>, plus</w:t>
      </w:r>
    </w:p>
    <w:p w:rsidR="003B7ABF" w:rsidRPr="003B7ABF" w:rsidRDefault="003B7ABF" w:rsidP="003B7ABF">
      <w:pPr>
        <w:numPr>
          <w:ilvl w:val="0"/>
          <w:numId w:val="2"/>
        </w:num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B7ABF">
        <w:rPr>
          <w:rFonts w:ascii="Helvetica" w:eastAsia="Times New Roman" w:hAnsi="Helvetica" w:cs="Helvetica"/>
          <w:b/>
          <w:bCs/>
          <w:color w:val="404040"/>
          <w:sz w:val="24"/>
          <w:szCs w:val="24"/>
        </w:rPr>
        <w:t>33%</w:t>
      </w:r>
      <w:r w:rsidRPr="003B7ABF">
        <w:rPr>
          <w:rFonts w:ascii="Helvetica" w:eastAsia="Times New Roman" w:hAnsi="Helvetica" w:cs="Helvetica"/>
          <w:color w:val="404040"/>
          <w:sz w:val="24"/>
          <w:szCs w:val="24"/>
        </w:rPr>
        <w:t> of taxable income </w:t>
      </w:r>
      <w:r w:rsidRPr="003B7ABF">
        <w:rPr>
          <w:rFonts w:ascii="Helvetica" w:eastAsia="Times New Roman" w:hAnsi="Helvetica" w:cs="Helvetica"/>
          <w:b/>
          <w:bCs/>
          <w:color w:val="404040"/>
          <w:sz w:val="24"/>
          <w:szCs w:val="24"/>
        </w:rPr>
        <w:t>over</w:t>
      </w:r>
      <w:r w:rsidRPr="003B7ABF">
        <w:rPr>
          <w:rFonts w:ascii="Helvetica" w:eastAsia="Times New Roman" w:hAnsi="Helvetica" w:cs="Helvetica"/>
          <w:color w:val="404040"/>
          <w:sz w:val="24"/>
          <w:szCs w:val="24"/>
        </w:rPr>
        <w:t> </w:t>
      </w:r>
      <w:r w:rsidRPr="003B7ABF">
        <w:rPr>
          <w:rFonts w:ascii="Helvetica" w:eastAsia="Times New Roman" w:hAnsi="Helvetica" w:cs="Helvetica"/>
          <w:b/>
          <w:bCs/>
          <w:color w:val="404040"/>
          <w:sz w:val="24"/>
          <w:szCs w:val="24"/>
        </w:rPr>
        <w:t>$214,368</w:t>
      </w:r>
    </w:p>
    <w:p w:rsidR="003B7ABF" w:rsidRPr="003B7ABF" w:rsidRDefault="003B7ABF" w:rsidP="003B7ABF">
      <w:pPr>
        <w:shd w:val="clear" w:color="auto" w:fill="FFFFFF"/>
        <w:spacing w:before="100" w:beforeAutospacing="1" w:after="360" w:line="240" w:lineRule="auto"/>
        <w:rPr>
          <w:rFonts w:ascii="Helvetica" w:eastAsia="Times New Roman" w:hAnsi="Helvetica" w:cs="Helvetica"/>
          <w:color w:val="404040"/>
          <w:sz w:val="24"/>
          <w:szCs w:val="24"/>
        </w:rPr>
      </w:pPr>
      <w:r w:rsidRPr="003B7ABF">
        <w:rPr>
          <w:rFonts w:ascii="Helvetica" w:eastAsia="Times New Roman" w:hAnsi="Helvetica" w:cs="Helvetica"/>
          <w:color w:val="404040"/>
          <w:sz w:val="24"/>
          <w:szCs w:val="24"/>
        </w:rPr>
        <w:t>The tax rates, also known as</w:t>
      </w:r>
      <w:r w:rsidRPr="003B7ABF">
        <w:rPr>
          <w:rFonts w:ascii="Helvetica" w:eastAsia="Times New Roman" w:hAnsi="Helvetica" w:cs="Helvetica"/>
          <w:b/>
          <w:bCs/>
          <w:color w:val="404040"/>
          <w:sz w:val="24"/>
          <w:szCs w:val="24"/>
        </w:rPr>
        <w:t> </w:t>
      </w:r>
      <w:r w:rsidRPr="003B7ABF">
        <w:rPr>
          <w:rFonts w:ascii="Helvetica" w:eastAsia="Times New Roman" w:hAnsi="Helvetica" w:cs="Helvetica"/>
          <w:b/>
          <w:bCs/>
          <w:color w:val="FF0000"/>
          <w:sz w:val="24"/>
          <w:szCs w:val="24"/>
        </w:rPr>
        <w:t>tax brackets</w:t>
      </w:r>
      <w:r w:rsidRPr="003B7ABF">
        <w:rPr>
          <w:rFonts w:ascii="Helvetica" w:eastAsia="Times New Roman" w:hAnsi="Helvetica" w:cs="Helvetica"/>
          <w:color w:val="404040"/>
          <w:sz w:val="24"/>
          <w:szCs w:val="24"/>
        </w:rPr>
        <w:t>, apply to personal income earned between predetermined minimum and maximum amounts. By understanding where your income falls within the tax brackets can help you make decisions about when and how to claim certain deductions and credits.</w:t>
      </w:r>
    </w:p>
    <w:p w:rsidR="003B7ABF" w:rsidRPr="003B7ABF" w:rsidRDefault="003B7ABF" w:rsidP="003B7ABF">
      <w:pPr>
        <w:shd w:val="clear" w:color="auto" w:fill="FFFFFF"/>
        <w:spacing w:before="100" w:beforeAutospacing="1" w:after="360" w:line="240" w:lineRule="auto"/>
        <w:rPr>
          <w:rFonts w:ascii="Helvetica" w:eastAsia="Times New Roman" w:hAnsi="Helvetica" w:cs="Helvetica"/>
          <w:color w:val="404040"/>
          <w:sz w:val="24"/>
          <w:szCs w:val="24"/>
        </w:rPr>
      </w:pPr>
      <w:r w:rsidRPr="003B7ABF">
        <w:rPr>
          <w:rFonts w:ascii="Helvetica" w:eastAsia="Times New Roman" w:hAnsi="Helvetica" w:cs="Helvetica"/>
          <w:color w:val="404040"/>
          <w:sz w:val="24"/>
          <w:szCs w:val="24"/>
        </w:rPr>
        <w:t>By understanding what tax bracket you are currently in, it can also help you understand changes in your income taxes if, for example, you start a side-gig or have other extra income that pushes you into the next bracket.</w:t>
      </w:r>
    </w:p>
    <w:p w:rsidR="003B7ABF" w:rsidRPr="003B7ABF" w:rsidRDefault="003B7ABF" w:rsidP="003B7ABF">
      <w:pPr>
        <w:shd w:val="clear" w:color="auto" w:fill="FFFFFF"/>
        <w:spacing w:before="100" w:beforeAutospacing="1" w:after="360" w:line="240" w:lineRule="auto"/>
        <w:rPr>
          <w:rFonts w:ascii="Helvetica" w:eastAsia="Times New Roman" w:hAnsi="Helvetica" w:cs="Helvetica"/>
          <w:color w:val="404040"/>
          <w:sz w:val="24"/>
          <w:szCs w:val="24"/>
        </w:rPr>
      </w:pPr>
      <w:r w:rsidRPr="003B7ABF">
        <w:rPr>
          <w:rFonts w:ascii="Helvetica" w:eastAsia="Times New Roman" w:hAnsi="Helvetica" w:cs="Helvetica"/>
          <w:color w:val="404040"/>
          <w:sz w:val="24"/>
          <w:szCs w:val="24"/>
        </w:rPr>
        <w:t>When you’re preparing your income taxes this year, this could explain why your taxes owing or refund amount are different than what they were last year.</w:t>
      </w:r>
    </w:p>
    <w:p w:rsidR="003B7ABF" w:rsidRPr="003B7ABF" w:rsidRDefault="003B7ABF" w:rsidP="003B7ABF">
      <w:pPr>
        <w:shd w:val="clear" w:color="auto" w:fill="FFFFFF"/>
        <w:spacing w:before="100" w:beforeAutospacing="1" w:after="360" w:line="240" w:lineRule="auto"/>
        <w:rPr>
          <w:rFonts w:ascii="Helvetica" w:eastAsia="Times New Roman" w:hAnsi="Helvetica" w:cs="Helvetica"/>
          <w:color w:val="FF0000"/>
          <w:sz w:val="24"/>
          <w:szCs w:val="24"/>
        </w:rPr>
      </w:pPr>
      <w:r w:rsidRPr="003B7ABF">
        <w:rPr>
          <w:rFonts w:ascii="Helvetica" w:eastAsia="Times New Roman" w:hAnsi="Helvetica" w:cs="Helvetica"/>
          <w:color w:val="404040"/>
          <w:sz w:val="24"/>
          <w:szCs w:val="24"/>
        </w:rPr>
        <w:t>The applicable rates are listed below for the current tax year. It is important to note that </w:t>
      </w:r>
      <w:r w:rsidRPr="003B7ABF">
        <w:rPr>
          <w:rFonts w:ascii="Helvetica" w:eastAsia="Times New Roman" w:hAnsi="Helvetica" w:cs="Helvetica"/>
          <w:b/>
          <w:bCs/>
          <w:color w:val="404040"/>
          <w:sz w:val="24"/>
          <w:szCs w:val="24"/>
        </w:rPr>
        <w:t xml:space="preserve">these rates apply to taxable income, which is your </w:t>
      </w:r>
      <w:r w:rsidRPr="003B7ABF">
        <w:rPr>
          <w:rFonts w:ascii="Helvetica" w:eastAsia="Times New Roman" w:hAnsi="Helvetica" w:cs="Helvetica"/>
          <w:b/>
          <w:bCs/>
          <w:color w:val="FF0000"/>
          <w:sz w:val="24"/>
          <w:szCs w:val="24"/>
        </w:rPr>
        <w:t>gross income less any deductions you may be entitled to.</w:t>
      </w:r>
    </w:p>
    <w:p w:rsidR="003B7ABF" w:rsidRPr="003B7ABF" w:rsidRDefault="003B7ABF" w:rsidP="003B7ABF">
      <w:pPr>
        <w:shd w:val="clear" w:color="auto" w:fill="FFFFFF"/>
        <w:spacing w:before="100" w:beforeAutospacing="1" w:after="360" w:line="240" w:lineRule="auto"/>
      </w:pPr>
      <w:r w:rsidRPr="003B7ABF">
        <w:rPr>
          <w:rFonts w:ascii="Helvetica" w:eastAsia="Times New Roman" w:hAnsi="Helvetica" w:cs="Helvetica"/>
          <w:color w:val="404040"/>
          <w:sz w:val="24"/>
          <w:szCs w:val="24"/>
        </w:rPr>
        <w:t>Remember, all provinces and territories also have their own tax brackets. When using the tax brackets and your annual earnings to make contribution decisions, make sure to also consider the tax rates for the province where you reside.</w:t>
      </w:r>
    </w:p>
    <w:sectPr w:rsidR="003B7ABF" w:rsidRPr="003B7ABF" w:rsidSect="003B7AB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56FF"/>
    <w:multiLevelType w:val="multilevel"/>
    <w:tmpl w:val="5A0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452326"/>
    <w:multiLevelType w:val="multilevel"/>
    <w:tmpl w:val="557C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BF"/>
    <w:rsid w:val="001C0896"/>
    <w:rsid w:val="003B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A924"/>
  <w15:chartTrackingRefBased/>
  <w15:docId w15:val="{68AAB16E-FFAD-4C94-A421-37D2C9D5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7A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7AB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B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rbotax.intuit.ca/tips/an-overview-of-federal-tax-rates-2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SECPSD</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Arnold</dc:creator>
  <cp:keywords/>
  <dc:description/>
  <cp:lastModifiedBy>Margot Arnold</cp:lastModifiedBy>
  <cp:revision>1</cp:revision>
  <dcterms:created xsi:type="dcterms:W3CDTF">2020-08-04T17:45:00Z</dcterms:created>
  <dcterms:modified xsi:type="dcterms:W3CDTF">2020-08-04T17:51:00Z</dcterms:modified>
</cp:coreProperties>
</file>